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1" w:rsidRDefault="00242161" w:rsidP="00242161">
      <w:r>
        <w:fldChar w:fldCharType="begin"/>
      </w:r>
      <w:r>
        <w:instrText xml:space="preserve"> HYPERLINK "http://pro-uro.ru/" </w:instrText>
      </w:r>
      <w:r>
        <w:fldChar w:fldCharType="separate"/>
      </w:r>
      <w:r w:rsidRPr="00242161">
        <w:rPr>
          <w:rStyle w:val="a6"/>
        </w:rPr>
        <w:t xml:space="preserve">Установка и удаление </w:t>
      </w:r>
      <w:proofErr w:type="spellStart"/>
      <w:r w:rsidRPr="00242161">
        <w:rPr>
          <w:rStyle w:val="a6"/>
        </w:rPr>
        <w:t>импланона</w:t>
      </w:r>
      <w:proofErr w:type="spellEnd"/>
      <w:r>
        <w:fldChar w:fldCharType="end"/>
      </w:r>
      <w:r>
        <w:t xml:space="preserve"> – Академия Здоровья</w:t>
      </w:r>
    </w:p>
    <w:p w:rsidR="00242161" w:rsidRDefault="00242161" w:rsidP="00242161">
      <w:pPr>
        <w:pStyle w:val="3"/>
        <w:rPr>
          <w:rFonts w:ascii="EkibastuzBold" w:hAnsi="EkibastuzBold" w:cs="Arial"/>
          <w:color w:val="000000"/>
          <w:sz w:val="42"/>
          <w:szCs w:val="42"/>
        </w:rPr>
      </w:pPr>
      <w:proofErr w:type="spellStart"/>
      <w:r>
        <w:rPr>
          <w:rFonts w:cs="Arial"/>
        </w:rPr>
        <w:t>Импланон</w:t>
      </w:r>
      <w:proofErr w:type="spellEnd"/>
      <w:r>
        <w:rPr>
          <w:rFonts w:cs="Arial"/>
        </w:rPr>
        <w:t xml:space="preserve"> имплантат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Назначение</w:t>
      </w:r>
    </w:p>
    <w:p w:rsidR="00242161" w:rsidRDefault="003E5214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5DE263C" wp14:editId="666DD271">
            <wp:simplePos x="0" y="0"/>
            <wp:positionH relativeFrom="column">
              <wp:posOffset>3729355</wp:posOffset>
            </wp:positionH>
            <wp:positionV relativeFrom="paragraph">
              <wp:posOffset>3294380</wp:posOffset>
            </wp:positionV>
            <wp:extent cx="2145030" cy="1512570"/>
            <wp:effectExtent l="0" t="0" r="7620" b="0"/>
            <wp:wrapSquare wrapText="bothSides"/>
            <wp:docPr id="1" name="Рисунок 1" descr="C:\Users\МастерВеб\YandexDisk\Екатерина\Проуро\новые тексты\impla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Веб\YandexDisk\Екатерина\Проуро\новые тексты\implan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61">
        <w:rPr>
          <w:rFonts w:ascii="Arial" w:hAnsi="Arial" w:cs="Arial"/>
          <w:color w:val="000000"/>
          <w:sz w:val="21"/>
          <w:szCs w:val="21"/>
        </w:rPr>
        <w:t>Препарат 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 xml:space="preserve"> представляет собой имплантат для подкожного применения, который не подвергается биологическому распаду, и который содержит 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этоногестрел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Этоногестрел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 xml:space="preserve"> является биологически активным метаболитом 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дезогестрела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прогестогена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 xml:space="preserve">, широко применяющегося в качестве </w:t>
      </w:r>
      <w:proofErr w:type="gramStart"/>
      <w:r w:rsidR="00242161">
        <w:rPr>
          <w:rFonts w:ascii="Arial" w:hAnsi="Arial" w:cs="Arial"/>
          <w:color w:val="000000"/>
          <w:sz w:val="21"/>
          <w:szCs w:val="21"/>
        </w:rPr>
        <w:t>ОК</w:t>
      </w:r>
      <w:proofErr w:type="gramEnd"/>
      <w:r w:rsidR="00242161">
        <w:rPr>
          <w:rFonts w:ascii="Arial" w:hAnsi="Arial" w:cs="Arial"/>
          <w:color w:val="000000"/>
          <w:sz w:val="21"/>
          <w:szCs w:val="21"/>
        </w:rPr>
        <w:t xml:space="preserve"> (перорального контрацептива). Структурно он является производным 19-нортестостерона и в органах-мишенях с высоким сродством связывается с рецепторами прогестерона. Контрацептивный эффект препарата 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> в основном достигается за счёт угнетения овуляции. Овуляции не наблюдались в течение первых двух лет применения и только редко возникали в течение третьего года. Помимо угнетения овуляции, препарат 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> также вызывает изменение вязкости цервикальной слизи, препятствующее прохождению сперматозоидов. Клинические исследования были проведены среди женщин в возрасте 18-40 лет. Контрацептивное действие препарата 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> является обратимым, что выражается в быстром восстановлении нормального менструального цикла после удаления имплантата. Хотя препарат 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 xml:space="preserve"> угнетает овуляцию, активность яичников угнетается не полностью. Средние концентрации 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эстрадиола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 xml:space="preserve"> остаются выше значения, которое наблюдается на ранней фазе образования фолликула. 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 xml:space="preserve"> не влияет на изменение минеральной плотности костной ткани и метаболизм липидов. Применение контрацептивов, </w:t>
      </w:r>
      <w:proofErr w:type="gramStart"/>
      <w:r w:rsidR="00242161">
        <w:rPr>
          <w:rFonts w:ascii="Arial" w:hAnsi="Arial" w:cs="Arial"/>
          <w:color w:val="000000"/>
          <w:sz w:val="21"/>
          <w:szCs w:val="21"/>
        </w:rPr>
        <w:t>содержащих</w:t>
      </w:r>
      <w:proofErr w:type="gramEnd"/>
      <w:r w:rsidR="0024216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прогестогены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>, возможно оказывает эффект на резистентность к инсулину и на толерантность к глюкозе. Было показано, что у пациентов, применяющих </w:t>
      </w:r>
      <w:proofErr w:type="spellStart"/>
      <w:r w:rsidR="00242161"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 w:rsidR="00242161">
        <w:rPr>
          <w:rFonts w:ascii="Arial" w:hAnsi="Arial" w:cs="Arial"/>
          <w:color w:val="000000"/>
          <w:sz w:val="21"/>
          <w:szCs w:val="21"/>
        </w:rPr>
        <w:t>, реже встречается дисменорея.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Форма выпуска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Имплантат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одно-стержневой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контрацептивный, помещен в иглу стерильного одноразового аппликатора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Количество в упаковке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шт.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Инструкция по применению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введением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следует исключить беременность. Перед введением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необходимо внимательно прочитать инструкции по введению и удалению имплантата в разделе «Как следует вводить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и в разделе «Как следует удалять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 Препарат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является длительно действующим гормональным контрацептивом. Подкожно вводится один имплантат. Женщину необходимо проинформировать о возможности его удаления в любое время по ее желанию, но имплантат нельзя оставлять в месте введения в течение более трёх лет. Только врач, знакомый с методикой удаления, должен проводить удаление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по желанию женщины или в конце 3-летнего периода применения. После удаления имплантата немедленное введение другого имплантата приведёт к продолжению контрацептивной защиты. Для удаления имплантата без осложнений необходимо, чтобы препарат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был правильно введён непосредственно под кожу. При условии соблюдения прилагаемых инструкций риск возникновения осложнений небольшой. Сообщалось несколько случаев, когда имплантат был введён с нарушением времени введения, или неправильно введён или вообще не был введён. Это привело к незапланированной беременности. Возникновение таких случаев может быть минимизировано при строгом соблюдении инструкций по введению имплантата (раздел «Как следует вводить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«Когда следует вводить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 После введения следует проверить наличие имплантата путём пальпации. До тех пор, пока не будет подтверждено нахождение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в месте введения, следует применять барьерный метод контрацепции.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Состав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содержит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этоногестрел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68 мг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Особые указания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Настоятельно рекомендуется, чтобы врачи перед началом своей врачебной практики, связанной с введением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прошли курсы обучения, организуемые компанией-производителем. Врачам, имеющим небольшой опыт по подкожному введению, рекомендуется приобрести навык правильной методики под наблюдением более опытного специалиста.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Риск развития рака молочной железы увеличивается с возрастом. Следует проводить индивидуальную оценку соотношения пользы и риска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применения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гормональных контрацептивов при наличии рака молочной железы.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Поскольку невозможно исключить негативное влияние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прогестогенов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развитие рака печени, следует проводить индивидуальную оценку соотношения пользы и риска у женщин с раком печени.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Применение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следует прекратить в случае развития тромбоза. Следует также рассмотреть возможность прекращения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в случае возможного хирургического вмешательства или требующего длительной иммобилизации, заболевания. Женщины с тромбоэмболическими нарушениями в анамнезе должны быть предупреждены о возможности их рецидива.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Хотя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прогестогены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могут влиять на резистентность периферических тканей к инсулину и на толерантность к глюкозе, нет подтверждения того, что существует необходимость изменять гипогликемическую терапию у больных сахарным диабетом, применяющих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препаратИмпланон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Тем не менее, женщины с сахарным диабетом должны находиться под тщательным наблюдением в течение всего периода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Предупреждение эктопической (внематочной) беременности традиционными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прогестогенсодержащими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столь эффективно, как при применении КОК, поскольку при применении первых у некоторых женщин происходит овуляция. Дополнительные факторы риска эктопической беременности включают наличие эктопической беременности в анамнезе и заболевания маточных труб в результате инфекции или хирургической операции. Несмотря на то, что препарат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постоянно угнетает овуляцию, при его применении нельзя полностью исключить развитие внематочной беременности при дифференциальной диагностике в случае аменореи или болей в животе.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Если в период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развивается устойчивая гипертензия или значительное повышение артериального давления не снижается адекватно в ответ на проводимую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антигипертензивную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терапию, то в таких случаях следует рассмотреть возможность прекращения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Если во время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возникают острые или хронические нарушения функции печени, то в этом случае женщине следует обратиться к специалисту для обследования и консультации на предмет прекращения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 время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может возникать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хлоазма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особенности у женщин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хлоазмой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анамнезе. Женщинам с предрасположенностью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хлоазме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следует избегать воздействия солнечных лучей или ультрафиолетового излучения во время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Контрацептивное действие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связано с концентрацией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этоногестрела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плазме крови, которая в обратно пропорциональной зависимости связана с массой тела, и снижается в течение времени после введения препарата. Клинический опыт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у женщин с избыточной массой тела на третьем году применения препарата ограничен. Поэтому нельзя исключить, что контрацептивный эффект у таких женщин в течение третьего года применения препарата может быть ниже, чем у женщин с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нормальной массой тела. Поэтому врачу, возможно, следует предусмотреть более раннюю замену имплантата у женщин с избыточной массой тела.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 результате местного воспаления или если имплантат введён не в соответствии с инструкциями, изложенными в разделе «Как следует вводить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может произойти выход имплантата.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 редких случаях, в основном связанных либо со слишком глубоким введением (см. также раздел «Как следует вводить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»), и/или в результате воздействия внешних сил (например, манипулирования с имплантатом или контактных видов спорта) имплантат может мигрировать с места введения. В подобных случаях определение локализации имплантата может быть затруднено и извлечение может потребовать большего рассечения (см. также раздел «Как следует удалять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 Если препарат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не удаётся обнаружить, то контрацепция и риск нежелательных эффектов, связанных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прогестогеном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может сохраняться сверх времени, желаемого женщиной.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Безопасность и эффективность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были оценены для женщин репродуктивного возраста. Ожидается, что эффективность и безопасность у подростков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постпубертатном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периоде будут аналогичными. Тем не менее, клинические испытания у женщин в возрасте менее 18 лет не проводились. Применение данного препарата не показано до наступления первой менструации.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Противопоказания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Контрацептивы,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содержащие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прогестоген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не следует применять при наличии любого из состояний/заболеваний, перечисленных ниже. В случае возникновения любого из этих состояний в период применения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следует немедленно прекратить применение препарата.</w:t>
      </w:r>
    </w:p>
    <w:p w:rsidR="00242161" w:rsidRDefault="00242161" w:rsidP="00242161">
      <w:pPr>
        <w:numPr>
          <w:ilvl w:val="0"/>
          <w:numId w:val="1"/>
        </w:numPr>
        <w:spacing w:before="120" w:after="180" w:line="240" w:lineRule="auto"/>
        <w:ind w:left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беременность (в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предполагаемая);</w:t>
      </w:r>
    </w:p>
    <w:p w:rsidR="00242161" w:rsidRDefault="00242161" w:rsidP="00242161">
      <w:pPr>
        <w:numPr>
          <w:ilvl w:val="0"/>
          <w:numId w:val="1"/>
        </w:numPr>
        <w:spacing w:before="120" w:after="180" w:line="240" w:lineRule="auto"/>
        <w:ind w:left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венозный тромбоз/тромбоэмболия,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анамнезе;</w:t>
      </w:r>
    </w:p>
    <w:p w:rsidR="00242161" w:rsidRDefault="00242161" w:rsidP="00242161">
      <w:pPr>
        <w:numPr>
          <w:ilvl w:val="0"/>
          <w:numId w:val="1"/>
        </w:numPr>
        <w:spacing w:before="120" w:after="180" w:line="240" w:lineRule="auto"/>
        <w:ind w:left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рак молочной железы,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анамнезе;</w:t>
      </w:r>
    </w:p>
    <w:p w:rsidR="00242161" w:rsidRDefault="00242161" w:rsidP="00242161">
      <w:pPr>
        <w:numPr>
          <w:ilvl w:val="0"/>
          <w:numId w:val="1"/>
        </w:numPr>
        <w:spacing w:before="120" w:after="180" w:line="240" w:lineRule="auto"/>
        <w:ind w:left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тяжелое заболевание печени (до нормализации показателей функции печени),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анамнезе;</w:t>
      </w:r>
    </w:p>
    <w:p w:rsidR="00242161" w:rsidRDefault="00242161" w:rsidP="00242161">
      <w:pPr>
        <w:numPr>
          <w:ilvl w:val="0"/>
          <w:numId w:val="1"/>
        </w:numPr>
        <w:spacing w:before="120" w:after="180" w:line="240" w:lineRule="auto"/>
        <w:ind w:left="48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прогестогензависимые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опухоли;</w:t>
      </w:r>
    </w:p>
    <w:p w:rsidR="00242161" w:rsidRDefault="00242161" w:rsidP="00242161">
      <w:pPr>
        <w:numPr>
          <w:ilvl w:val="0"/>
          <w:numId w:val="1"/>
        </w:numPr>
        <w:spacing w:before="120" w:after="180" w:line="240" w:lineRule="auto"/>
        <w:ind w:left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кровотечение из влагалища неясной этиологии;</w:t>
      </w:r>
    </w:p>
    <w:p w:rsidR="00242161" w:rsidRDefault="00242161" w:rsidP="00242161">
      <w:pPr>
        <w:numPr>
          <w:ilvl w:val="0"/>
          <w:numId w:val="1"/>
        </w:numPr>
        <w:spacing w:before="120" w:after="180" w:line="240" w:lineRule="auto"/>
        <w:ind w:left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повышенная чувствительность к активному веществу или к любому компоненту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С осторожностью. </w:t>
      </w:r>
      <w:r>
        <w:rPr>
          <w:rFonts w:ascii="Arial" w:hAnsi="Arial" w:cs="Arial"/>
          <w:color w:val="000000"/>
          <w:sz w:val="21"/>
          <w:szCs w:val="21"/>
        </w:rPr>
        <w:t xml:space="preserve">При наличии любого из состояний или факторов риска, указанных ниже, следует взвесить пользу применения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прогестогена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относительно возможных рисков в отношении каждой отдельной женщины и обсудить их с ней перед тем, как она решит начать применять препарат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случае ухудшения, усиления или при первом появлении любого из этих состояний, женщина должна обратиться к врачу. После чего врач должен решить вопрос о продолжении применения или отмене препарата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Импланон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Условия хранения</w:t>
      </w:r>
    </w:p>
    <w:p w:rsidR="00242161" w:rsidRDefault="00242161" w:rsidP="0024216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температуре 2-30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сухом, защищенном от света месте. Хранить в недоступном для детей месте.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Срок годности</w:t>
      </w:r>
    </w:p>
    <w:p w:rsidR="00242161" w:rsidRDefault="00242161" w:rsidP="0024216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 лет.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42161" w:rsidRPr="00242161" w:rsidRDefault="00242161" w:rsidP="00242161">
      <w:hyperlink r:id="rId7" w:history="1">
        <w:r w:rsidRPr="00242161">
          <w:rPr>
            <w:rStyle w:val="a6"/>
          </w:rPr>
          <w:t xml:space="preserve">Установка и удаление </w:t>
        </w:r>
        <w:proofErr w:type="spellStart"/>
        <w:r w:rsidRPr="00242161">
          <w:rPr>
            <w:rStyle w:val="a6"/>
          </w:rPr>
          <w:t>импланона</w:t>
        </w:r>
        <w:proofErr w:type="spellEnd"/>
      </w:hyperlink>
      <w:r>
        <w:t xml:space="preserve"> – Академия </w:t>
      </w:r>
      <w:r>
        <w:t>Здоровья</w:t>
      </w:r>
      <w:bookmarkStart w:id="0" w:name="_GoBack"/>
      <w:bookmarkEnd w:id="0"/>
    </w:p>
    <w:sectPr w:rsidR="00242161" w:rsidRPr="002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ibastuz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>
    <w:nsid w:val="5F307B61"/>
    <w:multiLevelType w:val="multilevel"/>
    <w:tmpl w:val="D2DA7A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68"/>
    <w:rsid w:val="00242161"/>
    <w:rsid w:val="003C596D"/>
    <w:rsid w:val="003E5214"/>
    <w:rsid w:val="00786687"/>
    <w:rsid w:val="00A4653E"/>
    <w:rsid w:val="00C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6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24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2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2161"/>
    <w:pPr>
      <w:spacing w:before="192"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161"/>
    <w:rPr>
      <w:b/>
      <w:bCs/>
    </w:rPr>
  </w:style>
  <w:style w:type="character" w:styleId="a5">
    <w:name w:val="Emphasis"/>
    <w:basedOn w:val="a0"/>
    <w:uiPriority w:val="20"/>
    <w:qFormat/>
    <w:rsid w:val="00242161"/>
    <w:rPr>
      <w:i/>
      <w:iCs/>
    </w:rPr>
  </w:style>
  <w:style w:type="character" w:styleId="a6">
    <w:name w:val="Hyperlink"/>
    <w:basedOn w:val="a0"/>
    <w:uiPriority w:val="99"/>
    <w:unhideWhenUsed/>
    <w:rsid w:val="0024216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6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6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24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2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2161"/>
    <w:pPr>
      <w:spacing w:before="192"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161"/>
    <w:rPr>
      <w:b/>
      <w:bCs/>
    </w:rPr>
  </w:style>
  <w:style w:type="character" w:styleId="a5">
    <w:name w:val="Emphasis"/>
    <w:basedOn w:val="a0"/>
    <w:uiPriority w:val="20"/>
    <w:qFormat/>
    <w:rsid w:val="00242161"/>
    <w:rPr>
      <w:i/>
      <w:iCs/>
    </w:rPr>
  </w:style>
  <w:style w:type="character" w:styleId="a6">
    <w:name w:val="Hyperlink"/>
    <w:basedOn w:val="a0"/>
    <w:uiPriority w:val="99"/>
    <w:unhideWhenUsed/>
    <w:rsid w:val="0024216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6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-u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2016-06-15T08:15:00Z</dcterms:created>
  <dcterms:modified xsi:type="dcterms:W3CDTF">2016-06-15T08:19:00Z</dcterms:modified>
</cp:coreProperties>
</file>